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体育学院2018-2019学年第一学期硕士研究生课程表</w:t>
      </w:r>
    </w:p>
    <w:tbl>
      <w:tblPr>
        <w:tblStyle w:val="3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球类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专项技能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周玉强(2-6周)、张荃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球类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项目场地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教育原理（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1-3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张素玲11J-6501(2-12周)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（2-7周）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（教育硕士、建筑与土木工程）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韩晓丽 10J-403   (2-17周)</w:t>
            </w: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田径运动专项技能（3-4节）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刘新宇 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田径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体育课程与教材研究（</w:t>
            </w:r>
            <w:r>
              <w:rPr>
                <w:rFonts w:ascii="宋体" w:hAnsi="宋体" w:eastAsia="宋体" w:cs="宋体"/>
                <w:sz w:val="18"/>
                <w:szCs w:val="18"/>
              </w:rPr>
              <w:t>5-6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王颖 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-1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体育学院实验</w:t>
            </w:r>
            <w:r>
              <w:rPr>
                <w:rFonts w:ascii="宋体" w:hAnsi="宋体" w:eastAsia="宋体" w:cs="宋体"/>
                <w:sz w:val="18"/>
                <w:szCs w:val="18"/>
              </w:rPr>
              <w:t>中心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课程与教学论（5-8节）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李福春11J-6501(2-8周/单周)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课程与教学论（5-8节）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于丽琴11J-6501(9-12周)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球类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专项技能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顾民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(7-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球类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项目场地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体育专业技能方法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艾军2-17周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</w:t>
            </w:r>
            <w:r>
              <w:rPr>
                <w:rFonts w:ascii="宋体" w:hAnsi="宋体" w:eastAsia="宋体" w:cs="宋体"/>
                <w:sz w:val="18"/>
                <w:szCs w:val="18"/>
              </w:rPr>
              <w:t>学院实验中心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190F10"/>
    <w:rsid w:val="00473D54"/>
    <w:rsid w:val="00536720"/>
    <w:rsid w:val="006C5625"/>
    <w:rsid w:val="00792867"/>
    <w:rsid w:val="009B647C"/>
    <w:rsid w:val="00B8760D"/>
    <w:rsid w:val="00C52006"/>
    <w:rsid w:val="00E13C81"/>
    <w:rsid w:val="00F23AFD"/>
    <w:rsid w:val="00F9798C"/>
    <w:rsid w:val="00FB725B"/>
    <w:rsid w:val="0B057A11"/>
    <w:rsid w:val="0C4A2921"/>
    <w:rsid w:val="0D4E1341"/>
    <w:rsid w:val="0E615884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2BE77EB"/>
    <w:rsid w:val="494C4626"/>
    <w:rsid w:val="4BAD5438"/>
    <w:rsid w:val="4F2B1B0E"/>
    <w:rsid w:val="50826C25"/>
    <w:rsid w:val="50FD1BE4"/>
    <w:rsid w:val="518315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130</TotalTime>
  <ScaleCrop>false</ScaleCrop>
  <LinksUpToDate>false</LinksUpToDate>
  <CharactersWithSpaces>747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2018-06-08T08:04:00Z</cp:lastPrinted>
  <dcterms:modified xsi:type="dcterms:W3CDTF">2018-09-01T10:31:36Z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